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C" w:rsidRDefault="00517243" w:rsidP="00FE6EA6">
      <w:pPr>
        <w:spacing w:before="240" w:after="120"/>
        <w:jc w:val="center"/>
        <w:rPr>
          <w:b/>
        </w:rPr>
      </w:pPr>
      <w:r w:rsidRPr="00852C0C">
        <w:rPr>
          <w:b/>
        </w:rPr>
        <w:t xml:space="preserve">П О С Т А Н О В Л Е Н И Е  </w:t>
      </w:r>
    </w:p>
    <w:p w:rsidR="00517243" w:rsidRPr="00852C0C" w:rsidRDefault="00517243" w:rsidP="00FE6EA6">
      <w:pPr>
        <w:jc w:val="center"/>
      </w:pPr>
      <w:r w:rsidRPr="00852C0C">
        <w:t xml:space="preserve">№ </w:t>
      </w:r>
      <w:r w:rsidR="00452652">
        <w:t>431</w:t>
      </w:r>
    </w:p>
    <w:p w:rsidR="00517243" w:rsidRDefault="00517243" w:rsidP="00517243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E6EA6" w:rsidTr="00FE6EA6">
        <w:tc>
          <w:tcPr>
            <w:tcW w:w="5228" w:type="dxa"/>
          </w:tcPr>
          <w:p w:rsidR="00FE6EA6" w:rsidRDefault="00FE6EA6" w:rsidP="00FE6EA6">
            <w:proofErr w:type="spellStart"/>
            <w:r w:rsidRPr="00852C0C">
              <w:t>гп</w:t>
            </w:r>
            <w:proofErr w:type="spellEnd"/>
            <w:r w:rsidRPr="00852C0C">
              <w:t xml:space="preserve">. </w:t>
            </w:r>
            <w:proofErr w:type="spellStart"/>
            <w:r w:rsidRPr="00852C0C">
              <w:t>Виллози</w:t>
            </w:r>
            <w:proofErr w:type="spellEnd"/>
          </w:p>
        </w:tc>
        <w:tc>
          <w:tcPr>
            <w:tcW w:w="5228" w:type="dxa"/>
          </w:tcPr>
          <w:p w:rsidR="00FE6EA6" w:rsidRDefault="00FE6EA6" w:rsidP="00FE6EA6">
            <w:pPr>
              <w:spacing w:line="276" w:lineRule="auto"/>
              <w:jc w:val="right"/>
            </w:pPr>
            <w:r w:rsidRPr="00852C0C">
              <w:t xml:space="preserve">23 августа 2022 года                                                                                           </w:t>
            </w:r>
            <w:r>
              <w:t xml:space="preserve">      </w:t>
            </w:r>
            <w:r w:rsidRPr="00852C0C">
              <w:t xml:space="preserve"> </w:t>
            </w:r>
          </w:p>
        </w:tc>
      </w:tr>
    </w:tbl>
    <w:p w:rsidR="00FE6EA6" w:rsidRPr="00852C0C" w:rsidRDefault="00FE6EA6" w:rsidP="00517243">
      <w:pPr>
        <w:jc w:val="center"/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10"/>
      </w:tblGrid>
      <w:tr w:rsidR="00852C0C" w:rsidRPr="00852C0C" w:rsidTr="001A32EF">
        <w:trPr>
          <w:trHeight w:val="4367"/>
        </w:trPr>
        <w:tc>
          <w:tcPr>
            <w:tcW w:w="2511" w:type="pct"/>
          </w:tcPr>
          <w:p w:rsidR="00852C0C" w:rsidRPr="00852C0C" w:rsidRDefault="00852C0C" w:rsidP="00FE6EA6">
            <w:pPr>
              <w:spacing w:line="276" w:lineRule="auto"/>
              <w:jc w:val="both"/>
              <w:rPr>
                <w:color w:val="000000"/>
              </w:rPr>
            </w:pPr>
            <w:r w:rsidRPr="00852C0C">
              <w:rPr>
                <w:color w:val="000000"/>
              </w:rPr>
              <w:t>«</w:t>
            </w:r>
            <w:r>
              <w:t>О заключении контракта с</w:t>
            </w:r>
            <w:r w:rsidRPr="00852C0C">
              <w:t xml:space="preserve"> единственн</w:t>
            </w:r>
            <w:r>
              <w:t>ым</w:t>
            </w:r>
            <w:r w:rsidRPr="00852C0C">
              <w:t xml:space="preserve"> по</w:t>
            </w:r>
            <w:r>
              <w:t>дрядчиком</w:t>
            </w:r>
            <w:r w:rsidRPr="00852C0C">
              <w:t xml:space="preserve"> в соответствии с постановлением Правительства Ленинградской области от 24.03.2022 № 179 «Об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порядка их осуществления»</w:t>
            </w:r>
            <w:r w:rsidRPr="00852C0C">
              <w:rPr>
                <w:color w:val="000000"/>
              </w:rPr>
              <w:t>»</w:t>
            </w:r>
          </w:p>
          <w:p w:rsidR="00852C0C" w:rsidRPr="00852C0C" w:rsidRDefault="00852C0C" w:rsidP="00517243">
            <w:pPr>
              <w:spacing w:line="276" w:lineRule="auto"/>
            </w:pPr>
          </w:p>
        </w:tc>
        <w:tc>
          <w:tcPr>
            <w:tcW w:w="2489" w:type="pct"/>
          </w:tcPr>
          <w:p w:rsidR="00852C0C" w:rsidRPr="00852C0C" w:rsidRDefault="00852C0C" w:rsidP="00517243">
            <w:pPr>
              <w:spacing w:line="276" w:lineRule="auto"/>
            </w:pPr>
            <w:bookmarkStart w:id="0" w:name="_GoBack"/>
            <w:bookmarkEnd w:id="0"/>
          </w:p>
        </w:tc>
      </w:tr>
    </w:tbl>
    <w:p w:rsidR="00852C0C" w:rsidRDefault="00852C0C" w:rsidP="004951A0">
      <w:pPr>
        <w:pStyle w:val="ConsPlusNonformat"/>
        <w:spacing w:line="276" w:lineRule="auto"/>
        <w:ind w:left="113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3" w:rsidRPr="00852C0C" w:rsidRDefault="00852C0C" w:rsidP="00901295">
      <w:pPr>
        <w:pStyle w:val="ConsPlusNonformat"/>
        <w:spacing w:line="276" w:lineRule="auto"/>
        <w:ind w:left="113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2C0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постановлением Правительства Ленинградской области от 24.03.2022 № 179 «Об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порядка их осуществления»»</w:t>
      </w:r>
      <w:r w:rsidR="00C12FD4" w:rsidRPr="00852C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7C83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C12FD4" w:rsidRPr="00852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заключением Администрации муниципального образования Ломоносовский муниципальный район Ленинградской области по результатам рассмотрения заявки, содержащей предложение о заключении контракта с единственным подрядчиком от 22 августа 2022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7243" w:rsidRPr="0085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CFC" w:rsidRPr="00852C0C" w:rsidRDefault="00542CFC" w:rsidP="00517243">
      <w:pPr>
        <w:tabs>
          <w:tab w:val="left" w:pos="426"/>
          <w:tab w:val="left" w:pos="709"/>
        </w:tabs>
        <w:spacing w:line="276" w:lineRule="auto"/>
        <w:ind w:left="113" w:right="57" w:firstLine="709"/>
        <w:jc w:val="center"/>
        <w:rPr>
          <w:b/>
        </w:rPr>
      </w:pPr>
    </w:p>
    <w:p w:rsidR="00517243" w:rsidRPr="00852C0C" w:rsidRDefault="00852C0C" w:rsidP="00517243">
      <w:pPr>
        <w:tabs>
          <w:tab w:val="left" w:pos="426"/>
          <w:tab w:val="left" w:pos="709"/>
        </w:tabs>
        <w:spacing w:line="276" w:lineRule="auto"/>
        <w:ind w:left="113" w:right="57" w:firstLine="709"/>
        <w:jc w:val="center"/>
        <w:rPr>
          <w:b/>
        </w:rPr>
      </w:pPr>
      <w:r>
        <w:rPr>
          <w:b/>
        </w:rPr>
        <w:t>П О С Т А Н О В Л Я Ю</w:t>
      </w:r>
      <w:r w:rsidR="00517243" w:rsidRPr="00852C0C">
        <w:rPr>
          <w:b/>
        </w:rPr>
        <w:t>:</w:t>
      </w:r>
    </w:p>
    <w:p w:rsidR="00517243" w:rsidRPr="00852C0C" w:rsidRDefault="00517243" w:rsidP="00517243">
      <w:pPr>
        <w:tabs>
          <w:tab w:val="left" w:pos="426"/>
          <w:tab w:val="left" w:pos="709"/>
        </w:tabs>
        <w:spacing w:line="276" w:lineRule="auto"/>
        <w:ind w:left="113" w:right="57" w:firstLine="709"/>
        <w:rPr>
          <w:b/>
        </w:rPr>
      </w:pPr>
    </w:p>
    <w:p w:rsidR="000F39AE" w:rsidRDefault="000F39AE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0F39AE">
        <w:rPr>
          <w:rFonts w:ascii="Times New Roman" w:hAnsi="Times New Roman"/>
          <w:sz w:val="24"/>
          <w:szCs w:val="24"/>
        </w:rPr>
        <w:t xml:space="preserve">Заключить муниципальный контракт с единственным подрядчиком </w:t>
      </w:r>
      <w:r w:rsidRPr="00852C0C">
        <w:rPr>
          <w:rFonts w:ascii="Times New Roman" w:hAnsi="Times New Roman"/>
          <w:color w:val="000000"/>
          <w:sz w:val="24"/>
          <w:szCs w:val="24"/>
        </w:rPr>
        <w:t>соответствии с постановлением Правительства Ленинградской области от 24.03.2022 № 179 «Об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порядка их осуществления»»</w:t>
      </w:r>
      <w:r>
        <w:rPr>
          <w:rFonts w:ascii="Times New Roman" w:hAnsi="Times New Roman"/>
          <w:color w:val="000000"/>
          <w:sz w:val="24"/>
          <w:szCs w:val="24"/>
        </w:rPr>
        <w:t>, а также</w:t>
      </w:r>
      <w:r w:rsidRPr="00852C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заключением Администрации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 Ломоносовский муниципальный район Ленинградской области по результатам рассмотрения заявки, содержащей предложение о заключении контракта с единственным подрядчиком от 22 августа 2022 года (далее -  Контракт)</w:t>
      </w:r>
    </w:p>
    <w:p w:rsidR="00F77C83" w:rsidRPr="000F39AE" w:rsidRDefault="00F77C83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0F39AE">
        <w:rPr>
          <w:rFonts w:ascii="Times New Roman" w:hAnsi="Times New Roman"/>
          <w:sz w:val="24"/>
          <w:szCs w:val="24"/>
        </w:rPr>
        <w:t xml:space="preserve">Предметом контракта считать: </w:t>
      </w:r>
      <w:r w:rsidR="00852C0C" w:rsidRPr="000F39AE">
        <w:rPr>
          <w:rFonts w:ascii="Times New Roman" w:hAnsi="Times New Roman"/>
          <w:sz w:val="24"/>
          <w:szCs w:val="24"/>
        </w:rPr>
        <w:t>работ</w:t>
      </w:r>
      <w:r w:rsidRPr="000F39AE">
        <w:rPr>
          <w:rFonts w:ascii="Times New Roman" w:hAnsi="Times New Roman"/>
          <w:sz w:val="24"/>
          <w:szCs w:val="24"/>
        </w:rPr>
        <w:t>ы</w:t>
      </w:r>
      <w:r w:rsidR="00852C0C" w:rsidRPr="000F39AE">
        <w:rPr>
          <w:rFonts w:ascii="Times New Roman" w:hAnsi="Times New Roman"/>
          <w:sz w:val="24"/>
          <w:szCs w:val="24"/>
        </w:rPr>
        <w:t xml:space="preserve"> по строительству «Физкультурно-оздоровительного комплекса с 25-метровым плавательным бассейном и универсальным игровым залом в </w:t>
      </w:r>
      <w:proofErr w:type="spellStart"/>
      <w:r w:rsidR="00852C0C" w:rsidRPr="000F39AE">
        <w:rPr>
          <w:rFonts w:ascii="Times New Roman" w:hAnsi="Times New Roman"/>
          <w:sz w:val="24"/>
          <w:szCs w:val="24"/>
        </w:rPr>
        <w:t>гп</w:t>
      </w:r>
      <w:proofErr w:type="spellEnd"/>
      <w:r w:rsidR="00852C0C" w:rsidRPr="000F39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52C0C" w:rsidRPr="000F39AE">
        <w:rPr>
          <w:rFonts w:ascii="Times New Roman" w:hAnsi="Times New Roman"/>
          <w:sz w:val="24"/>
          <w:szCs w:val="24"/>
        </w:rPr>
        <w:t>Виллози</w:t>
      </w:r>
      <w:proofErr w:type="spellEnd"/>
      <w:r w:rsidR="00852C0C" w:rsidRPr="000F39AE">
        <w:rPr>
          <w:rFonts w:ascii="Times New Roman" w:hAnsi="Times New Roman"/>
          <w:sz w:val="24"/>
          <w:szCs w:val="24"/>
        </w:rPr>
        <w:t xml:space="preserve"> Ломоносовского муниципального района Ленинградской области»</w:t>
      </w:r>
      <w:r w:rsidRPr="000F39AE">
        <w:rPr>
          <w:rFonts w:ascii="Times New Roman" w:hAnsi="Times New Roman"/>
          <w:sz w:val="24"/>
          <w:szCs w:val="24"/>
        </w:rPr>
        <w:t>.</w:t>
      </w:r>
    </w:p>
    <w:p w:rsidR="00F77C83" w:rsidRDefault="00852C0C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F77C83">
        <w:rPr>
          <w:rFonts w:ascii="Times New Roman" w:hAnsi="Times New Roman"/>
          <w:sz w:val="24"/>
          <w:szCs w:val="24"/>
        </w:rPr>
        <w:t>Администраци</w:t>
      </w:r>
      <w:r w:rsidR="00F77C83">
        <w:rPr>
          <w:rFonts w:ascii="Times New Roman" w:hAnsi="Times New Roman"/>
          <w:sz w:val="24"/>
          <w:szCs w:val="24"/>
        </w:rPr>
        <w:t>я</w:t>
      </w:r>
      <w:r w:rsidRPr="00F77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83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F77C83">
        <w:rPr>
          <w:rFonts w:ascii="Times New Roman" w:hAnsi="Times New Roman"/>
          <w:sz w:val="24"/>
          <w:szCs w:val="24"/>
        </w:rPr>
        <w:t xml:space="preserve"> городского поселения Ломоносовского района </w:t>
      </w:r>
      <w:r w:rsidR="00F77C83">
        <w:rPr>
          <w:rFonts w:ascii="Times New Roman" w:hAnsi="Times New Roman"/>
          <w:sz w:val="24"/>
          <w:szCs w:val="24"/>
        </w:rPr>
        <w:t xml:space="preserve">выступает в </w:t>
      </w:r>
      <w:r w:rsidRPr="00F77C83">
        <w:rPr>
          <w:rFonts w:ascii="Times New Roman" w:hAnsi="Times New Roman"/>
          <w:sz w:val="24"/>
          <w:szCs w:val="24"/>
        </w:rPr>
        <w:t>качестве Заказчика</w:t>
      </w:r>
      <w:r w:rsidR="00F77C83">
        <w:rPr>
          <w:rFonts w:ascii="Times New Roman" w:hAnsi="Times New Roman"/>
          <w:sz w:val="24"/>
          <w:szCs w:val="24"/>
        </w:rPr>
        <w:t>,</w:t>
      </w:r>
      <w:r w:rsidRPr="00F77C83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«Строительная компания Юнит» </w:t>
      </w:r>
      <w:r w:rsidR="00F77C83">
        <w:rPr>
          <w:rFonts w:ascii="Times New Roman" w:hAnsi="Times New Roman"/>
          <w:sz w:val="24"/>
          <w:szCs w:val="24"/>
        </w:rPr>
        <w:t xml:space="preserve">выступает </w:t>
      </w:r>
      <w:r w:rsidRPr="00F77C83">
        <w:rPr>
          <w:rFonts w:ascii="Times New Roman" w:hAnsi="Times New Roman"/>
          <w:sz w:val="24"/>
          <w:szCs w:val="24"/>
        </w:rPr>
        <w:t xml:space="preserve">в качестве </w:t>
      </w:r>
      <w:r w:rsidR="00F77C83" w:rsidRPr="00F77C83">
        <w:rPr>
          <w:rFonts w:ascii="Times New Roman" w:hAnsi="Times New Roman"/>
          <w:sz w:val="24"/>
          <w:szCs w:val="24"/>
        </w:rPr>
        <w:t>Подрядчика</w:t>
      </w:r>
      <w:r w:rsidRPr="00F77C83">
        <w:rPr>
          <w:rFonts w:ascii="Times New Roman" w:hAnsi="Times New Roman"/>
          <w:sz w:val="24"/>
          <w:szCs w:val="24"/>
        </w:rPr>
        <w:t xml:space="preserve"> </w:t>
      </w:r>
      <w:r w:rsidR="00F77C83">
        <w:rPr>
          <w:rFonts w:ascii="Times New Roman" w:hAnsi="Times New Roman"/>
          <w:sz w:val="24"/>
          <w:szCs w:val="24"/>
        </w:rPr>
        <w:t>по муниципальному контракту</w:t>
      </w:r>
      <w:r w:rsidRPr="00F77C83">
        <w:rPr>
          <w:rFonts w:ascii="Times New Roman" w:hAnsi="Times New Roman"/>
          <w:sz w:val="24"/>
          <w:szCs w:val="24"/>
        </w:rPr>
        <w:t xml:space="preserve">. </w:t>
      </w:r>
    </w:p>
    <w:p w:rsidR="00F77C83" w:rsidRDefault="00F77C83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485C0A">
        <w:rPr>
          <w:rFonts w:ascii="Times New Roman" w:hAnsi="Times New Roman"/>
          <w:sz w:val="24"/>
          <w:szCs w:val="24"/>
        </w:rPr>
        <w:t>Цена К</w:t>
      </w:r>
      <w:r>
        <w:rPr>
          <w:rFonts w:ascii="Times New Roman" w:hAnsi="Times New Roman"/>
          <w:sz w:val="24"/>
          <w:szCs w:val="24"/>
        </w:rPr>
        <w:t xml:space="preserve">онтракта </w:t>
      </w:r>
      <w:r w:rsidRPr="00485C0A">
        <w:rPr>
          <w:rFonts w:ascii="Times New Roman" w:hAnsi="Times New Roman"/>
          <w:sz w:val="24"/>
          <w:szCs w:val="24"/>
        </w:rPr>
        <w:t xml:space="preserve">составляет </w:t>
      </w:r>
      <w:r w:rsidRPr="000F39AE">
        <w:rPr>
          <w:rFonts w:ascii="Times New Roman" w:hAnsi="Times New Roman"/>
          <w:sz w:val="24"/>
          <w:szCs w:val="24"/>
        </w:rPr>
        <w:t>283 694 775,60 (двести восемьдесят три миллиона шестьсот девяносто четыре тысячи семьсот семьдесят пять рублей 60 копеек), в</w:t>
      </w:r>
      <w:r w:rsidRPr="00485C0A">
        <w:rPr>
          <w:rFonts w:ascii="Times New Roman" w:hAnsi="Times New Roman"/>
          <w:sz w:val="24"/>
          <w:szCs w:val="24"/>
        </w:rPr>
        <w:t>ключая НДС 47 282 462 руб. 60 копеек (сорок семь миллионов двести восемьдесят две тысячи четыреста шестьдесят два рубля 00 копеек)</w:t>
      </w:r>
      <w:r w:rsidRPr="00485C0A">
        <w:rPr>
          <w:rFonts w:ascii="Times New Roman" w:hAnsi="Times New Roman"/>
          <w:i/>
          <w:sz w:val="24"/>
          <w:szCs w:val="24"/>
        </w:rPr>
        <w:t xml:space="preserve"> </w:t>
      </w:r>
      <w:r w:rsidRPr="00485C0A">
        <w:rPr>
          <w:rFonts w:ascii="Times New Roman" w:hAnsi="Times New Roman"/>
          <w:sz w:val="24"/>
          <w:szCs w:val="24"/>
        </w:rPr>
        <w:t>расчет цены контракта приведен в Приложении № 1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  <w:r w:rsidRPr="00485C0A">
        <w:rPr>
          <w:rFonts w:ascii="Times New Roman" w:hAnsi="Times New Roman"/>
          <w:sz w:val="24"/>
          <w:szCs w:val="24"/>
        </w:rPr>
        <w:t>.</w:t>
      </w:r>
    </w:p>
    <w:p w:rsidR="00F77C83" w:rsidRDefault="00F77C83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Этапами контракта определить </w:t>
      </w:r>
      <w:r w:rsidRPr="00F77C83">
        <w:rPr>
          <w:rFonts w:ascii="Times New Roman" w:hAnsi="Times New Roman"/>
          <w:sz w:val="24"/>
          <w:szCs w:val="24"/>
        </w:rPr>
        <w:t xml:space="preserve">ежемесячное </w:t>
      </w:r>
      <w:r>
        <w:rPr>
          <w:rFonts w:ascii="Times New Roman" w:hAnsi="Times New Roman"/>
          <w:sz w:val="24"/>
          <w:szCs w:val="24"/>
        </w:rPr>
        <w:t>закрытие выполненных работ в соответствии с подписанными сторонами закрывающими документами</w:t>
      </w:r>
      <w:r w:rsidR="000F39AE">
        <w:rPr>
          <w:rFonts w:ascii="Times New Roman" w:hAnsi="Times New Roman"/>
          <w:sz w:val="24"/>
          <w:szCs w:val="24"/>
        </w:rPr>
        <w:t xml:space="preserve"> по Контракту</w:t>
      </w:r>
      <w:r>
        <w:rPr>
          <w:rFonts w:ascii="Times New Roman" w:hAnsi="Times New Roman"/>
          <w:sz w:val="24"/>
          <w:szCs w:val="24"/>
        </w:rPr>
        <w:t>.</w:t>
      </w:r>
    </w:p>
    <w:p w:rsidR="000F39AE" w:rsidRDefault="000F39AE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 Контракте выплату Аванса </w:t>
      </w:r>
      <w:r w:rsidRPr="00485C0A">
        <w:rPr>
          <w:rFonts w:ascii="Times New Roman" w:hAnsi="Times New Roman"/>
          <w:sz w:val="24"/>
          <w:szCs w:val="24"/>
        </w:rPr>
        <w:t xml:space="preserve">в размере </w:t>
      </w:r>
      <w:r w:rsidRPr="000F39AE">
        <w:rPr>
          <w:rFonts w:ascii="Times New Roman" w:hAnsi="Times New Roman"/>
          <w:sz w:val="24"/>
          <w:szCs w:val="24"/>
        </w:rPr>
        <w:t>85 108 432 рубля 68 копеек (восемьдесят пять миллионов сто восемь тысяч четыреста тридцать два рубля 68 копеек)</w:t>
      </w:r>
      <w:r w:rsidR="00466464">
        <w:rPr>
          <w:rFonts w:ascii="Times New Roman" w:hAnsi="Times New Roman"/>
          <w:sz w:val="24"/>
          <w:szCs w:val="24"/>
        </w:rPr>
        <w:t>.</w:t>
      </w:r>
    </w:p>
    <w:p w:rsidR="00466464" w:rsidRPr="000F39AE" w:rsidRDefault="00466464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Казначейское сопровождение Контракта </w:t>
      </w:r>
      <w:r w:rsidR="001A32EF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требуется</w:t>
      </w:r>
      <w:r w:rsidR="001A32EF">
        <w:rPr>
          <w:rFonts w:ascii="Times New Roman" w:hAnsi="Times New Roman"/>
          <w:sz w:val="24"/>
          <w:szCs w:val="24"/>
        </w:rPr>
        <w:t>.</w:t>
      </w:r>
    </w:p>
    <w:p w:rsidR="00517243" w:rsidRPr="00F77C83" w:rsidRDefault="00517243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F77C83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на официальном сайте муниципального образования </w:t>
      </w:r>
      <w:proofErr w:type="spellStart"/>
      <w:r w:rsidRPr="00F77C83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F77C83">
        <w:rPr>
          <w:rFonts w:ascii="Times New Roman" w:hAnsi="Times New Roman"/>
          <w:sz w:val="24"/>
          <w:szCs w:val="24"/>
        </w:rPr>
        <w:t xml:space="preserve"> городское поселение, адрес </w:t>
      </w:r>
      <w:proofErr w:type="spellStart"/>
      <w:r w:rsidRPr="00F77C83">
        <w:rPr>
          <w:rFonts w:ascii="Times New Roman" w:hAnsi="Times New Roman"/>
          <w:sz w:val="24"/>
          <w:szCs w:val="24"/>
        </w:rPr>
        <w:t>web</w:t>
      </w:r>
      <w:proofErr w:type="spellEnd"/>
      <w:r w:rsidRPr="00F77C83">
        <w:rPr>
          <w:rFonts w:ascii="Times New Roman" w:hAnsi="Times New Roman"/>
          <w:sz w:val="24"/>
          <w:szCs w:val="24"/>
        </w:rPr>
        <w:t xml:space="preserve">-сайта: </w:t>
      </w:r>
      <w:hyperlink r:id="rId8" w:history="1">
        <w:r w:rsidRPr="00F77C83">
          <w:t>www.villozi-adm.ru</w:t>
        </w:r>
      </w:hyperlink>
      <w:r w:rsidRPr="00F77C83">
        <w:rPr>
          <w:rFonts w:ascii="Times New Roman" w:hAnsi="Times New Roman"/>
          <w:sz w:val="24"/>
          <w:szCs w:val="24"/>
        </w:rPr>
        <w:t xml:space="preserve">. </w:t>
      </w:r>
    </w:p>
    <w:p w:rsidR="00517243" w:rsidRPr="00852C0C" w:rsidRDefault="00517243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852C0C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517243" w:rsidRPr="00F77C83" w:rsidRDefault="00517243" w:rsidP="00901295">
      <w:pPr>
        <w:pStyle w:val="aa"/>
        <w:numPr>
          <w:ilvl w:val="0"/>
          <w:numId w:val="13"/>
        </w:numPr>
        <w:spacing w:line="276" w:lineRule="auto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F77C8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17243" w:rsidRPr="00852C0C" w:rsidRDefault="00517243" w:rsidP="00901295">
      <w:pPr>
        <w:tabs>
          <w:tab w:val="left" w:pos="426"/>
          <w:tab w:val="left" w:pos="709"/>
        </w:tabs>
        <w:spacing w:line="276" w:lineRule="auto"/>
        <w:ind w:right="-24"/>
      </w:pPr>
    </w:p>
    <w:p w:rsidR="00517243" w:rsidRPr="00852C0C" w:rsidRDefault="00517243" w:rsidP="00517243">
      <w:pPr>
        <w:tabs>
          <w:tab w:val="left" w:pos="426"/>
          <w:tab w:val="left" w:pos="709"/>
        </w:tabs>
        <w:spacing w:line="276" w:lineRule="auto"/>
      </w:pPr>
    </w:p>
    <w:p w:rsidR="00542CFC" w:rsidRPr="00852C0C" w:rsidRDefault="00542CFC" w:rsidP="00517243">
      <w:pPr>
        <w:tabs>
          <w:tab w:val="left" w:pos="426"/>
          <w:tab w:val="left" w:pos="709"/>
        </w:tabs>
        <w:spacing w:line="276" w:lineRule="auto"/>
      </w:pPr>
    </w:p>
    <w:p w:rsidR="00517243" w:rsidRPr="00852C0C" w:rsidRDefault="00517243" w:rsidP="00517243">
      <w:pPr>
        <w:tabs>
          <w:tab w:val="left" w:pos="426"/>
          <w:tab w:val="left" w:pos="709"/>
        </w:tabs>
        <w:spacing w:line="276" w:lineRule="auto"/>
        <w:rPr>
          <w:b/>
        </w:rPr>
      </w:pPr>
      <w:r w:rsidRPr="00852C0C">
        <w:rPr>
          <w:b/>
        </w:rPr>
        <w:t>Глава администрации</w:t>
      </w:r>
    </w:p>
    <w:p w:rsidR="00517243" w:rsidRPr="00852C0C" w:rsidRDefault="00517243" w:rsidP="00517243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  <w:proofErr w:type="spellStart"/>
      <w:r w:rsidRPr="00852C0C">
        <w:rPr>
          <w:b/>
        </w:rPr>
        <w:t>Виллозского</w:t>
      </w:r>
      <w:proofErr w:type="spellEnd"/>
      <w:r w:rsidRPr="00852C0C">
        <w:rPr>
          <w:b/>
        </w:rPr>
        <w:t xml:space="preserve"> городского поселения                                                                            С.В. Андреева</w:t>
      </w:r>
    </w:p>
    <w:p w:rsidR="00452652" w:rsidRDefault="00452652">
      <w:pPr>
        <w:spacing w:after="200" w:line="276" w:lineRule="auto"/>
      </w:pPr>
      <w:r>
        <w:br w:type="page"/>
      </w:r>
    </w:p>
    <w:p w:rsidR="00452652" w:rsidRDefault="00452652">
      <w:pPr>
        <w:sectPr w:rsidR="00452652" w:rsidSect="00852C0C">
          <w:headerReference w:type="first" r:id="rId9"/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2C2997" w:rsidRDefault="00452652" w:rsidP="00452652">
      <w:pPr>
        <w:jc w:val="right"/>
      </w:pPr>
      <w:r>
        <w:lastRenderedPageBreak/>
        <w:t xml:space="preserve">Приложение 1 к постановлению </w:t>
      </w:r>
    </w:p>
    <w:p w:rsidR="00452652" w:rsidRDefault="00452652" w:rsidP="00452652">
      <w:pPr>
        <w:jc w:val="right"/>
      </w:pPr>
      <w:r>
        <w:t>№ 431 от 23.08.2022 года</w:t>
      </w:r>
    </w:p>
    <w:p w:rsidR="00452652" w:rsidRDefault="00452652" w:rsidP="00452652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6983"/>
        <w:gridCol w:w="1395"/>
        <w:gridCol w:w="1283"/>
        <w:gridCol w:w="1544"/>
        <w:gridCol w:w="1235"/>
        <w:gridCol w:w="1541"/>
      </w:tblGrid>
      <w:tr w:rsidR="00452652" w:rsidRPr="00452652" w:rsidTr="00452652">
        <w:trPr>
          <w:trHeight w:val="61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</w:rPr>
              <w:t>РАСЧЕТ НАЧАЛЬНОЙ (МАКСИМАЛЬНОЙ) ЦЕНЫ КОНТРАКТА</w:t>
            </w:r>
          </w:p>
        </w:tc>
      </w:tr>
      <w:tr w:rsidR="00452652" w:rsidRPr="00452652" w:rsidTr="00452652">
        <w:trPr>
          <w:trHeight w:val="54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 осуществлении закупки на выполнение подрядных работ по строительству объекта:</w:t>
            </w:r>
          </w:p>
        </w:tc>
      </w:tr>
      <w:tr w:rsidR="00452652" w:rsidRPr="00452652" w:rsidTr="00452652">
        <w:trPr>
          <w:trHeight w:val="54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"Физкультурно-оздоровительный комплекс </w:t>
            </w:r>
            <w:proofErr w:type="gramStart"/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 25</w:t>
            </w:r>
            <w:proofErr w:type="gramEnd"/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-ти метровым плавательным  бассейном и универсальным игровым залом в </w:t>
            </w:r>
            <w:proofErr w:type="spellStart"/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гп</w:t>
            </w:r>
            <w:proofErr w:type="spellEnd"/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Виллози</w:t>
            </w:r>
            <w:proofErr w:type="spellEnd"/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Ломоносовского муниципального района  Ленинградской области" </w:t>
            </w:r>
          </w:p>
        </w:tc>
      </w:tr>
      <w:tr w:rsidR="00452652" w:rsidRPr="00452652" w:rsidTr="00452652">
        <w:trPr>
          <w:trHeight w:val="31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0"/>
        </w:trPr>
        <w:tc>
          <w:tcPr>
            <w:tcW w:w="3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Стоимость работ в ценах</w:t>
            </w: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дату утверждения сметной документации на</w:t>
            </w: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квартал 2018г.,          IV квартал 2020г.,          II квартал 2021г.,        III квартал 2021г. 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Индекс фактической инфляции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Стоимость работ в</w:t>
            </w: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br/>
              <w:t>ценах на дату формирования начальной (максимальной) цены контракта</w:t>
            </w: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br/>
              <w:t>III квартал 2022г.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Индекс прогнозной инфляции на период выполнения работ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контракта с учетом прогнозного индекса инфляции на период выполнения работ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Строительно-монтажные работы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142 496,99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177 608,24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183 948,86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Строительно-монтажные работы (IV квартал 2020г.)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206,78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227,56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235,68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Строительно-монтажные работы (II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7 262,17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7 949,17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8 232,95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Строительно-монтажные работы (III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9 269,24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9 974,62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10 330,72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Стоимость оборудования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14 915,25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18 590,37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19 254,05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Временные здания и сооружения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2 564,95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3 196,95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3 311,08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Временные здания и сооружения (IV квартал 2020г.)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Временные здания и сооружения (II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130,72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143,09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148,19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Временные здания и сооружения  (III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166,85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179,54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185,95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Пусконаладочные работы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2 346,50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2 924,68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3 029,09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Удорожание работ в зимнее время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2 175,93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2 712,08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2 808,90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Удорожание работ в зимнее время (IV квартал 2020г.)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Удорожание работ в зимнее время (II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110,89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121,38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125,72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Удорожание работ в зимнее время  (III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141,54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152,31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157,75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Непредвиденные работы и затраты 2%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3 289,99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4 100,65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4 247,04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Непредвиденные работы и затраты (IV квартал 2020г.)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4,87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Непредвиденные работы и затраты (II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150,08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164,27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170,14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Непредвиденные работы и затраты  (III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191,55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206,13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213,49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Стоимость без учета НДС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167 789,61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209 132,97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216 599,01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Стоимость без учета НДС (IV квартал 2020г.)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239,83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248,39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Стоимость без учета НДС (II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7 653,85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8 377,91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8 677,00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Стоимость без учета НДС  (III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9 769,17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10 512,61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10 887,91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НДС (20%) (I квартал 2018г.)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33 557,92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41 826,59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43 319,80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НДС (20%)  (IV квартал 2020г.)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43,59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49,68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НДС (20%)  (II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1 530,77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1 675,58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1 735,40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НДС (20%)  (III квартал 2021г.)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1 953,83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2 102,52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2 177,58</w:t>
            </w:r>
          </w:p>
        </w:tc>
      </w:tr>
      <w:tr w:rsidR="00452652" w:rsidRPr="00452652" w:rsidTr="00452652">
        <w:trPr>
          <w:trHeight w:val="300"/>
        </w:trPr>
        <w:tc>
          <w:tcPr>
            <w:tcW w:w="32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с учетом НДС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222 516,68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273 915,98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283 694,78</w:t>
            </w: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Дата формирования НМЦК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Начало строительства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Окончание строительства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Декабрь 2023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540 дней (18 месяцев)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РАСЧЕТ ИНДЕКСОВ-ДЕФЛЯТОРОВ НА I квартал 2018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90"/>
        </w:trPr>
        <w:tc>
          <w:tcPr>
            <w:tcW w:w="4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 Расчет индекса фактической инфляции с использованием ИПЦ Росстата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Январь 2019 / Январь 2018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105,56%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Январь 2020 / Январь 2019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102,74%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Январь 2021 / Январь 2020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104,15%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Январь 2022 / Январь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106,07%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Февраль 2022 / Январь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100,46%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Март 2022 / Февраль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106,06%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Апрель 2022 / Март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Май 2022 / Апрель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Июнь 2022 / Май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Июль 2022 / Июнь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фактической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1,0556 * 1,0274 * 1,0415 * 1,0607 * 1,0046 * 1,0606 * 0,9792 * 0,9989 * 0,9982 * 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1,2464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 Расчет индекса прогнозной инфляции</w:t>
            </w: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105,1%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104,9%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¹²√1,051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¹²√1,049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Индексы прогнозной инфляции на период исполнения контракта: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(1 + 1,0042⁵)/2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1,0106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1,0042⁵ * (1,004 + 1,049)/2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1,0482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прогнозной инфляции: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0,333 * 1,0106 + 0,667 * 1,0482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РАСЧЕТ ИНДЕКСОВ-ДЕФЛЯТОРОВ НА IV квартал 2020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90"/>
        </w:trPr>
        <w:tc>
          <w:tcPr>
            <w:tcW w:w="4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 Расчет индекса фактической инфляции с использованием ИПЦ Росстата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Октябрь 2021 / Октябрь 2020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103,97%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Ноябрь 2021 / Октябрь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100,64%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Декабрь 2021 / Ноябрь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100,57%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Январь 2022 / Декабрь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100,53%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Февраль 2022 / Январь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100,46%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Март 2022 / Февраль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106,06%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Апрель 2022 / Март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Май 2022 / Апрель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Июнь 2022 / Май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Июль 2022 / Июнь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фактической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1,0397 * 1,0064 * 1,0057 * 1,0053 * 1,0046 * 1,0606 * 0,9792 * 0,9989 * 0,9982 * 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Расчет индекса прогнозной инфляции</w:t>
            </w: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105,1%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104,9%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¹²√1,051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¹²√1,049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Индексы прогнозной инфляции на период исполнения контракта: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(1 + 1,0042⁵)/2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1,0106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1,0042⁵ * (1,004 + 1,049)/2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1,0482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прогнозной инфляции: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0,333 * 1,0106 + 0,667 * 1,0482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РАСЧЕТ ИНДЕКСОВ-ДЕФЛЯТОРОВ НА II квартал 2021г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90"/>
        </w:trPr>
        <w:tc>
          <w:tcPr>
            <w:tcW w:w="4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Расчет индекса фактической инфляции с использованием ИПЦ Росстата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Апрель 2022 / Апрель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109,78%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Май 2022 / Апрель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Июнь 2022 / Май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Июль 2022 / Июнь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фактической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1,0978 * 0,9989 * 0,9982 * 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 Расчет индекса прогнозной инфляции</w:t>
            </w: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105,1%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104,9%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¹²√1,051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¹²√1,049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Индексы прогнозной инфляции на период исполнения контракта: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(1 + 1,0042⁵)/2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1,0106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1,0042⁵ * (1,004 + 1,049)/2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1,0482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прогнозной инфляции: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0,333 * 1,0106 + 0,667 * 1,0482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РАСЧЕТ ИНДЕКСОВ-ДЕФЛЯТОРОВ НА III квартал 2021г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90"/>
        </w:trPr>
        <w:tc>
          <w:tcPr>
            <w:tcW w:w="4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Расчет индекса фактической инфляции с использованием ИПЦ Росстата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Август 2021 / Июль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100,29%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Сентябрь 2021 / Август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100,67%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Октябрь 2021 / Сентябрь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100,69%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Ноябрь 2021 / Октябрь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100,64%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Декабрь 2021 / Ноябрь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100,57%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Январь 2022 / Декабрь 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100,53%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Февраль 2022 / Январь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100,46%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Март 2022 / Февраль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106,06%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Апрель 2022 / Март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Май 2022 / Апрель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Июнь 2022 / Май 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99,82%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фактической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51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1,0029 * 1,0067 * 1,0069 * 1,0064 * 1,0057 * 1,0053 * 1,0046 * 1,0606 * 0,9792 * 0,9989 * 0,9982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255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52" w:rsidRPr="00452652" w:rsidRDefault="00452652" w:rsidP="00452652">
            <w:pPr>
              <w:jc w:val="right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4.2. Расчет индекса прогнозной инфляции</w:t>
            </w: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105,1%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104,9%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Ежемесячные индексы прогнозной инфляции: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¹²√1,051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¹²√1,049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Индексы прогнозной инфляции на период исполнения контракта: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2022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(1 + 1,0042⁵)/2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1,0106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К на 2023 год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1,0042⁵ * (1,004 + 1,049)/2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color w:val="000000"/>
                <w:sz w:val="20"/>
                <w:szCs w:val="20"/>
              </w:rPr>
              <w:t>1,0482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индекс прогнозной инфляции: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sz w:val="20"/>
                <w:szCs w:val="20"/>
              </w:rPr>
            </w:pPr>
          </w:p>
        </w:tc>
      </w:tr>
      <w:tr w:rsidR="00452652" w:rsidRPr="00452652" w:rsidTr="00452652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52" w:rsidRPr="00452652" w:rsidRDefault="00452652" w:rsidP="00452652">
            <w:pPr>
              <w:rPr>
                <w:sz w:val="20"/>
                <w:szCs w:val="20"/>
              </w:rPr>
            </w:pPr>
          </w:p>
        </w:tc>
        <w:tc>
          <w:tcPr>
            <w:tcW w:w="3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0,333 * 1,0106 + 0,667 * 1,0482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52" w:rsidRPr="00452652" w:rsidRDefault="00452652" w:rsidP="00452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52652" w:rsidRPr="00852C0C" w:rsidRDefault="00452652" w:rsidP="00452652">
      <w:pPr>
        <w:jc w:val="center"/>
      </w:pPr>
    </w:p>
    <w:sectPr w:rsidR="00452652" w:rsidRPr="00852C0C" w:rsidSect="00452652">
      <w:type w:val="continuous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4D" w:rsidRDefault="0074394D" w:rsidP="00517243">
      <w:r>
        <w:separator/>
      </w:r>
    </w:p>
  </w:endnote>
  <w:endnote w:type="continuationSeparator" w:id="0">
    <w:p w:rsidR="0074394D" w:rsidRDefault="0074394D" w:rsidP="005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4D" w:rsidRDefault="0074394D" w:rsidP="00517243">
      <w:r>
        <w:separator/>
      </w:r>
    </w:p>
  </w:footnote>
  <w:footnote w:type="continuationSeparator" w:id="0">
    <w:p w:rsidR="0074394D" w:rsidRDefault="0074394D" w:rsidP="0051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A6" w:rsidRDefault="00FE6EA6" w:rsidP="00FE6EA6">
    <w:pPr>
      <w:jc w:val="center"/>
      <w:rPr>
        <w:b/>
        <w:bCs/>
      </w:rPr>
    </w:pPr>
  </w:p>
  <w:p w:rsidR="00FE6EA6" w:rsidRDefault="00FE6EA6" w:rsidP="00FE6EA6">
    <w:pPr>
      <w:jc w:val="center"/>
      <w:rPr>
        <w:b/>
        <w:bCs/>
      </w:rPr>
    </w:pPr>
  </w:p>
  <w:p w:rsidR="00FE6EA6" w:rsidRPr="00852C0C" w:rsidRDefault="00FE6EA6" w:rsidP="00FE6EA6">
    <w:pPr>
      <w:jc w:val="center"/>
      <w:rPr>
        <w:b/>
        <w:bCs/>
      </w:rPr>
    </w:pPr>
    <w:r w:rsidRPr="00852C0C">
      <w:rPr>
        <w:b/>
        <w:bCs/>
        <w:noProof/>
        <w:color w:val="0000FF"/>
      </w:rPr>
      <w:drawing>
        <wp:inline distT="0" distB="0" distL="0" distR="0" wp14:anchorId="3B08342A" wp14:editId="44C5FBC2">
          <wp:extent cx="723900" cy="826770"/>
          <wp:effectExtent l="1905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EA6" w:rsidRPr="00852C0C" w:rsidRDefault="00FE6EA6" w:rsidP="00FE6EA6">
    <w:pPr>
      <w:jc w:val="center"/>
      <w:rPr>
        <w:b/>
        <w:bCs/>
      </w:rPr>
    </w:pPr>
    <w:r w:rsidRPr="00852C0C">
      <w:rPr>
        <w:b/>
        <w:bCs/>
      </w:rPr>
      <w:t>АДМИНИСТРАЦИЯ</w:t>
    </w:r>
  </w:p>
  <w:p w:rsidR="00FE6EA6" w:rsidRPr="00852C0C" w:rsidRDefault="00FE6EA6" w:rsidP="00FE6EA6">
    <w:pPr>
      <w:jc w:val="center"/>
      <w:rPr>
        <w:b/>
        <w:bCs/>
      </w:rPr>
    </w:pPr>
    <w:r w:rsidRPr="00852C0C">
      <w:rPr>
        <w:b/>
        <w:bCs/>
      </w:rPr>
      <w:t>ВИЛЛОЗСКОГО ГОРОДСКОГО ПОСЕЛЕНИЯ</w:t>
    </w:r>
  </w:p>
  <w:p w:rsidR="00FE6EA6" w:rsidRPr="00852C0C" w:rsidRDefault="00FE6EA6" w:rsidP="00FE6EA6">
    <w:pPr>
      <w:jc w:val="center"/>
      <w:rPr>
        <w:b/>
        <w:bCs/>
      </w:rPr>
    </w:pPr>
    <w:r w:rsidRPr="00852C0C">
      <w:rPr>
        <w:b/>
        <w:bCs/>
      </w:rPr>
      <w:t>ЛОМОНОСОВСКОГО РАЙОНА</w:t>
    </w:r>
  </w:p>
  <w:p w:rsidR="00FE6EA6" w:rsidRDefault="00FE6E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F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E5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414DA"/>
    <w:multiLevelType w:val="hybridMultilevel"/>
    <w:tmpl w:val="4DC2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5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1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F70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436B"/>
    <w:multiLevelType w:val="hybridMultilevel"/>
    <w:tmpl w:val="19788202"/>
    <w:lvl w:ilvl="0" w:tplc="3AFC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3E1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E3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C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E6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63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A0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3"/>
    <w:rsid w:val="000315C7"/>
    <w:rsid w:val="00034E21"/>
    <w:rsid w:val="00037E3A"/>
    <w:rsid w:val="00077E65"/>
    <w:rsid w:val="00094105"/>
    <w:rsid w:val="000A22D5"/>
    <w:rsid w:val="000C7A0B"/>
    <w:rsid w:val="000D1694"/>
    <w:rsid w:val="000F39AE"/>
    <w:rsid w:val="00100730"/>
    <w:rsid w:val="00135E53"/>
    <w:rsid w:val="00166C03"/>
    <w:rsid w:val="00171943"/>
    <w:rsid w:val="00192404"/>
    <w:rsid w:val="001A30D7"/>
    <w:rsid w:val="001A32EF"/>
    <w:rsid w:val="001E44B2"/>
    <w:rsid w:val="001F4C3F"/>
    <w:rsid w:val="00255E1A"/>
    <w:rsid w:val="002630A1"/>
    <w:rsid w:val="00297E91"/>
    <w:rsid w:val="002B6DD2"/>
    <w:rsid w:val="002C2997"/>
    <w:rsid w:val="002E2FD4"/>
    <w:rsid w:val="00306BD8"/>
    <w:rsid w:val="00324DA6"/>
    <w:rsid w:val="003502A6"/>
    <w:rsid w:val="00401E32"/>
    <w:rsid w:val="00414CD6"/>
    <w:rsid w:val="0042253B"/>
    <w:rsid w:val="00431FF7"/>
    <w:rsid w:val="00436443"/>
    <w:rsid w:val="00440D6C"/>
    <w:rsid w:val="00452652"/>
    <w:rsid w:val="00466464"/>
    <w:rsid w:val="004951A0"/>
    <w:rsid w:val="004B51D2"/>
    <w:rsid w:val="004F31AD"/>
    <w:rsid w:val="0051656F"/>
    <w:rsid w:val="00517243"/>
    <w:rsid w:val="005260E5"/>
    <w:rsid w:val="00542CFC"/>
    <w:rsid w:val="005448EC"/>
    <w:rsid w:val="005A0E61"/>
    <w:rsid w:val="005A7550"/>
    <w:rsid w:val="00651653"/>
    <w:rsid w:val="00656F7D"/>
    <w:rsid w:val="006806C7"/>
    <w:rsid w:val="00680720"/>
    <w:rsid w:val="00681B08"/>
    <w:rsid w:val="006B3597"/>
    <w:rsid w:val="006D0CAF"/>
    <w:rsid w:val="007424BF"/>
    <w:rsid w:val="0074394D"/>
    <w:rsid w:val="0074529A"/>
    <w:rsid w:val="00755CE7"/>
    <w:rsid w:val="007635F4"/>
    <w:rsid w:val="0076469C"/>
    <w:rsid w:val="007B2EC9"/>
    <w:rsid w:val="007B58C0"/>
    <w:rsid w:val="007D551B"/>
    <w:rsid w:val="007F56FF"/>
    <w:rsid w:val="008020DA"/>
    <w:rsid w:val="008026E8"/>
    <w:rsid w:val="008129B9"/>
    <w:rsid w:val="008218F8"/>
    <w:rsid w:val="00821E3C"/>
    <w:rsid w:val="00836A26"/>
    <w:rsid w:val="00843AA2"/>
    <w:rsid w:val="00852C0C"/>
    <w:rsid w:val="008A6EFD"/>
    <w:rsid w:val="008B0A1D"/>
    <w:rsid w:val="008B0BA2"/>
    <w:rsid w:val="008E2FEF"/>
    <w:rsid w:val="008E59F5"/>
    <w:rsid w:val="008E6A13"/>
    <w:rsid w:val="00901295"/>
    <w:rsid w:val="0095744E"/>
    <w:rsid w:val="009A4F16"/>
    <w:rsid w:val="009E4887"/>
    <w:rsid w:val="00AA1357"/>
    <w:rsid w:val="00AA6A21"/>
    <w:rsid w:val="00AB4F76"/>
    <w:rsid w:val="00B11ABF"/>
    <w:rsid w:val="00B31424"/>
    <w:rsid w:val="00B61633"/>
    <w:rsid w:val="00B632C2"/>
    <w:rsid w:val="00B919AB"/>
    <w:rsid w:val="00B9463C"/>
    <w:rsid w:val="00BC4A6E"/>
    <w:rsid w:val="00C12FD4"/>
    <w:rsid w:val="00C43BAB"/>
    <w:rsid w:val="00C575FC"/>
    <w:rsid w:val="00CA6F0D"/>
    <w:rsid w:val="00CD16A9"/>
    <w:rsid w:val="00D05DE8"/>
    <w:rsid w:val="00D11F54"/>
    <w:rsid w:val="00D339C5"/>
    <w:rsid w:val="00D608FE"/>
    <w:rsid w:val="00D902B0"/>
    <w:rsid w:val="00DD3481"/>
    <w:rsid w:val="00DD5DE5"/>
    <w:rsid w:val="00DF7C87"/>
    <w:rsid w:val="00E15C88"/>
    <w:rsid w:val="00EC1F47"/>
    <w:rsid w:val="00F30117"/>
    <w:rsid w:val="00F41DDA"/>
    <w:rsid w:val="00F77C83"/>
    <w:rsid w:val="00F84AA9"/>
    <w:rsid w:val="00FA66A8"/>
    <w:rsid w:val="00FB0BC1"/>
    <w:rsid w:val="00FB3E9E"/>
    <w:rsid w:val="00FC38AF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2CC5"/>
  <w15:docId w15:val="{FC7AA8CB-8E59-44FD-A5C5-A8F0859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72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17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7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7243"/>
    <w:pPr>
      <w:spacing w:before="20"/>
      <w:ind w:left="720" w:right="567"/>
      <w:contextualSpacing/>
    </w:pPr>
    <w:rPr>
      <w:rFonts w:ascii="Arial" w:eastAsia="Calibri" w:hAnsi="Arial"/>
      <w:sz w:val="20"/>
      <w:szCs w:val="20"/>
      <w:lang w:eastAsia="en-US"/>
    </w:rPr>
  </w:style>
  <w:style w:type="table" w:styleId="ab">
    <w:name w:val="Table Grid"/>
    <w:basedOn w:val="a1"/>
    <w:uiPriority w:val="59"/>
    <w:rsid w:val="00AA1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F77C8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77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7C83"/>
    <w:rPr>
      <w:vertAlign w:val="superscript"/>
    </w:rPr>
  </w:style>
  <w:style w:type="paragraph" w:styleId="2">
    <w:name w:val="Body Text Indent 2"/>
    <w:basedOn w:val="a"/>
    <w:link w:val="20"/>
    <w:rsid w:val="00F77C8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77C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2CDC-EC5B-4894-BF91-DF8D7DC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ZakUser</dc:creator>
  <cp:keywords/>
  <dc:description/>
  <cp:lastModifiedBy>Artur</cp:lastModifiedBy>
  <cp:revision>5</cp:revision>
  <cp:lastPrinted>2022-08-24T06:56:00Z</cp:lastPrinted>
  <dcterms:created xsi:type="dcterms:W3CDTF">2022-08-23T11:43:00Z</dcterms:created>
  <dcterms:modified xsi:type="dcterms:W3CDTF">2022-08-24T07:12:00Z</dcterms:modified>
</cp:coreProperties>
</file>